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53" w:rsidRDefault="00280763" w:rsidP="00666D53">
      <w:pPr>
        <w:pStyle w:val="NoSpacing"/>
        <w:jc w:val="both"/>
      </w:pPr>
      <w:r>
        <w:t xml:space="preserve">The Town of Germantown Waterfront Revitalization </w:t>
      </w:r>
      <w:r w:rsidR="00FF37C7">
        <w:t>Area</w:t>
      </w:r>
      <w:r>
        <w:t xml:space="preserve"> Boundary</w:t>
      </w:r>
      <w:r w:rsidR="00FF37C7">
        <w:t xml:space="preserve"> (the “Boundary)</w:t>
      </w:r>
      <w:r>
        <w:t xml:space="preserve"> is based on the State’s </w:t>
      </w:r>
      <w:r w:rsidR="003F6AAD">
        <w:t xml:space="preserve">Coastal </w:t>
      </w:r>
      <w:r>
        <w:t xml:space="preserve">Area </w:t>
      </w:r>
      <w:r w:rsidR="003F6AAD">
        <w:t xml:space="preserve">Boundary with Palatine Park and Roe-Jan Park </w:t>
      </w:r>
      <w:r>
        <w:t>affixed</w:t>
      </w:r>
      <w:r w:rsidR="003F6AAD">
        <w:t>.</w:t>
      </w:r>
      <w:r w:rsidR="000F4B06">
        <w:t xml:space="preserve"> The Boundary includes</w:t>
      </w:r>
      <w:r w:rsidR="00A60EE0">
        <w:t xml:space="preserve"> the</w:t>
      </w:r>
      <w:r w:rsidR="000F4B06">
        <w:t xml:space="preserve"> </w:t>
      </w:r>
      <w:r w:rsidR="0028425D">
        <w:t xml:space="preserve">Scenic Areas of Statewide Significance and the Town’s Waterfront Scenic Overlay District. </w:t>
      </w:r>
    </w:p>
    <w:p w:rsidR="007E74FB" w:rsidRDefault="007E74FB" w:rsidP="00666D53">
      <w:pPr>
        <w:pStyle w:val="NoSpacing"/>
        <w:jc w:val="both"/>
      </w:pPr>
    </w:p>
    <w:p w:rsidR="00280763" w:rsidRDefault="00280763" w:rsidP="00666D53">
      <w:pPr>
        <w:pStyle w:val="NoSpacing"/>
        <w:jc w:val="both"/>
      </w:pPr>
      <w:r>
        <w:t xml:space="preserve">The Boundary starts at the northwestern corner of the Town and travels north along the Town boundary to the northeast corner of the Town. From there the boundary line travels southeast along the Town boundary and the </w:t>
      </w:r>
      <w:proofErr w:type="spellStart"/>
      <w:r>
        <w:t>Roeliff</w:t>
      </w:r>
      <w:proofErr w:type="spellEnd"/>
      <w:r>
        <w:t xml:space="preserve"> Jansen Kill. Two parcels are included for Roe-Jan Park and then the boundary travels back to the north along the southwestern edge of the </w:t>
      </w:r>
      <w:proofErr w:type="spellStart"/>
      <w:r>
        <w:t>Roeliff</w:t>
      </w:r>
      <w:proofErr w:type="spellEnd"/>
      <w:r>
        <w:t xml:space="preserve"> Jansen Kill until State Route 9G. The boundary then follows th</w:t>
      </w:r>
      <w:r w:rsidR="00B017AE">
        <w:t>e eastern side of State Route 9</w:t>
      </w:r>
      <w:r>
        <w:t xml:space="preserve">G southwest to </w:t>
      </w:r>
      <w:r w:rsidR="00B017AE">
        <w:t>its</w:t>
      </w:r>
      <w:r>
        <w:t xml:space="preserve"> intersection with Maple Avenue.  Here, Palatine Park is bordered between </w:t>
      </w:r>
      <w:r w:rsidR="00E3449A">
        <w:t>Maple Avenue, Main Street and State Route 9G. From the intersection o</w:t>
      </w:r>
      <w:r w:rsidR="00B017AE">
        <w:t>f Main Street and State Route 9G, the B</w:t>
      </w:r>
      <w:r w:rsidR="00E3449A">
        <w:t xml:space="preserve">oundary travels southeast along the eastern edge of State Route 9G to the Town boundary when it then travels northwest to the </w:t>
      </w:r>
      <w:r w:rsidR="00B017AE">
        <w:t>north</w:t>
      </w:r>
      <w:bookmarkStart w:id="0" w:name="_GoBack"/>
      <w:bookmarkEnd w:id="0"/>
      <w:r w:rsidR="00E3449A">
        <w:t xml:space="preserve">western corner of the Town. </w:t>
      </w:r>
      <w:r>
        <w:t xml:space="preserve"> </w:t>
      </w:r>
    </w:p>
    <w:p w:rsidR="00666D53" w:rsidRDefault="00666D53" w:rsidP="00666D53">
      <w:pPr>
        <w:pStyle w:val="NoSpacing"/>
        <w:jc w:val="both"/>
      </w:pPr>
    </w:p>
    <w:p w:rsidR="00E3449A" w:rsidRDefault="00E3449A" w:rsidP="00666D53">
      <w:pPr>
        <w:pStyle w:val="NoSpacing"/>
        <w:jc w:val="both"/>
      </w:pPr>
      <w:r>
        <w:t xml:space="preserve">The </w:t>
      </w:r>
      <w:r w:rsidR="00FF37C7">
        <w:t>Boundary</w:t>
      </w:r>
      <w:r>
        <w:t xml:space="preserve"> includes approximately 3,048 acres of land and </w:t>
      </w:r>
      <w:r w:rsidR="00B51D7D">
        <w:t>48</w:t>
      </w:r>
      <w:r w:rsidR="00ED7B85">
        <w:t>8</w:t>
      </w:r>
      <w:r>
        <w:t xml:space="preserve"> parcels within the Town of Germantown. </w:t>
      </w:r>
      <w:r w:rsidR="005453DB">
        <w:t>Roughly</w:t>
      </w:r>
      <w:r w:rsidR="00ED7B85">
        <w:t xml:space="preserve"> 1,300 acres of the Boundary are</w:t>
      </w:r>
      <w:r w:rsidR="005453DB">
        <w:t xml:space="preserve"> made up of</w:t>
      </w:r>
      <w:r w:rsidR="00ED7B85">
        <w:t xml:space="preserve"> the Hudson River and the </w:t>
      </w:r>
      <w:proofErr w:type="spellStart"/>
      <w:r w:rsidR="00ED7B85">
        <w:t>Roeliff</w:t>
      </w:r>
      <w:proofErr w:type="spellEnd"/>
      <w:r w:rsidR="00ED7B85">
        <w:t xml:space="preserve"> </w:t>
      </w:r>
      <w:r w:rsidR="00D91982">
        <w:t>Jansen</w:t>
      </w:r>
      <w:r w:rsidR="00ED7B85">
        <w:t xml:space="preserve"> Kill. </w:t>
      </w:r>
      <w:r>
        <w:t>All four municipally-owned parks</w:t>
      </w:r>
      <w:r w:rsidR="005453DB">
        <w:t>, Town Hall and Library</w:t>
      </w:r>
      <w:r>
        <w:t xml:space="preserve"> are included as well as two municipally-owned</w:t>
      </w:r>
      <w:r w:rsidR="005453DB">
        <w:t xml:space="preserve"> pieces of land with</w:t>
      </w:r>
      <w:r>
        <w:t xml:space="preserve"> riparian </w:t>
      </w:r>
      <w:r w:rsidR="005453DB">
        <w:t>water rights along the Hudson River.</w:t>
      </w:r>
      <w:r w:rsidR="00666D53">
        <w:t xml:space="preserve"> </w:t>
      </w:r>
    </w:p>
    <w:p w:rsidR="00666D53" w:rsidRDefault="00666D53" w:rsidP="00666D53">
      <w:pPr>
        <w:pStyle w:val="NoSpacing"/>
        <w:jc w:val="both"/>
      </w:pPr>
    </w:p>
    <w:p w:rsidR="00A82691" w:rsidRPr="00666D53" w:rsidRDefault="00666D53" w:rsidP="00666D53">
      <w:pPr>
        <w:pStyle w:val="NoSpacing"/>
        <w:jc w:val="center"/>
        <w:rPr>
          <w:b/>
        </w:rPr>
      </w:pPr>
      <w:r w:rsidRPr="00666D53">
        <w:rPr>
          <w:b/>
        </w:rPr>
        <w:t>Land Use within the Boundary</w:t>
      </w:r>
    </w:p>
    <w:p w:rsidR="00666D53" w:rsidRPr="00666D53" w:rsidRDefault="00666D53" w:rsidP="00666D53">
      <w:pPr>
        <w:pStyle w:val="NoSpacing"/>
        <w:jc w:val="center"/>
        <w:rPr>
          <w:sz w:val="18"/>
        </w:rPr>
      </w:pPr>
      <w:r>
        <w:rPr>
          <w:sz w:val="18"/>
        </w:rPr>
        <w:t>(</w:t>
      </w:r>
      <w:r w:rsidRPr="00666D53">
        <w:rPr>
          <w:sz w:val="18"/>
        </w:rPr>
        <w:t>Based on 2016 Columbia County RPS Tax Map Parcels</w:t>
      </w:r>
      <w:r>
        <w:rPr>
          <w:sz w:val="18"/>
        </w:rPr>
        <w:t>)</w:t>
      </w:r>
    </w:p>
    <w:tbl>
      <w:tblPr>
        <w:tblW w:w="6220" w:type="dxa"/>
        <w:jc w:val="center"/>
        <w:tblLook w:val="04A0" w:firstRow="1" w:lastRow="0" w:firstColumn="1" w:lastColumn="0" w:noHBand="0" w:noVBand="1"/>
      </w:tblPr>
      <w:tblGrid>
        <w:gridCol w:w="3460"/>
        <w:gridCol w:w="2760"/>
      </w:tblGrid>
      <w:tr w:rsidR="00A82691" w:rsidRPr="00A82691" w:rsidTr="00A82691">
        <w:trPr>
          <w:trHeight w:val="300"/>
          <w:jc w:val="cent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b/>
                <w:bCs/>
                <w:color w:val="000000"/>
              </w:rPr>
            </w:pPr>
            <w:r w:rsidRPr="00A82691">
              <w:rPr>
                <w:rFonts w:ascii="Calibri" w:eastAsia="Times New Roman" w:hAnsi="Calibri" w:cs="Calibri"/>
                <w:b/>
                <w:bCs/>
                <w:color w:val="000000"/>
              </w:rPr>
              <w:t xml:space="preserve">Land Use </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b/>
                <w:bCs/>
                <w:color w:val="000000"/>
              </w:rPr>
            </w:pPr>
            <w:r w:rsidRPr="00A82691">
              <w:rPr>
                <w:rFonts w:ascii="Calibri" w:eastAsia="Times New Roman" w:hAnsi="Calibri" w:cs="Calibri"/>
                <w:b/>
                <w:bCs/>
                <w:color w:val="000000"/>
              </w:rPr>
              <w:t>% of Boundary Area</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Agricultural (100)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0.2%</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Residential (200)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73.6%</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Vacant (300)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18.0%</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666D53"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Commercial</w:t>
            </w:r>
            <w:r w:rsidR="00A82691" w:rsidRPr="00A82691">
              <w:rPr>
                <w:rFonts w:ascii="Calibri" w:eastAsia="Times New Roman" w:hAnsi="Calibri" w:cs="Calibri"/>
                <w:color w:val="000000"/>
              </w:rPr>
              <w:t xml:space="preserve"> (400)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5.2%</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Recreation and Entertainment (500)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0.8%</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Community Services (600)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1.7%</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Industrial (700)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0.2%</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Public Services (800)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0.2%</w:t>
            </w:r>
          </w:p>
        </w:tc>
      </w:tr>
      <w:tr w:rsidR="00A82691" w:rsidRPr="00A82691" w:rsidTr="00A82691">
        <w:trPr>
          <w:trHeight w:val="300"/>
          <w:jc w:val="center"/>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Wild</w:t>
            </w:r>
            <w:r w:rsidR="00666D53">
              <w:rPr>
                <w:rFonts w:ascii="Calibri" w:eastAsia="Times New Roman" w:hAnsi="Calibri" w:cs="Calibri"/>
                <w:color w:val="000000"/>
              </w:rPr>
              <w:t>,</w:t>
            </w:r>
            <w:r w:rsidRPr="00A82691">
              <w:rPr>
                <w:rFonts w:ascii="Calibri" w:eastAsia="Times New Roman" w:hAnsi="Calibri" w:cs="Calibri"/>
                <w:color w:val="000000"/>
              </w:rPr>
              <w:t xml:space="preserve"> </w:t>
            </w:r>
            <w:r w:rsidR="00666D53" w:rsidRPr="00A82691">
              <w:rPr>
                <w:rFonts w:ascii="Calibri" w:eastAsia="Times New Roman" w:hAnsi="Calibri" w:cs="Calibri"/>
                <w:color w:val="000000"/>
              </w:rPr>
              <w:t>Forested</w:t>
            </w:r>
            <w:r w:rsidR="00666D53">
              <w:rPr>
                <w:rFonts w:ascii="Calibri" w:eastAsia="Times New Roman" w:hAnsi="Calibri" w:cs="Calibri"/>
                <w:color w:val="000000"/>
              </w:rPr>
              <w:t>, Etc.</w:t>
            </w:r>
            <w:r w:rsidRPr="00A82691">
              <w:rPr>
                <w:rFonts w:ascii="Calibri" w:eastAsia="Times New Roman" w:hAnsi="Calibri" w:cs="Calibri"/>
                <w:color w:val="000000"/>
              </w:rPr>
              <w:t xml:space="preserve"> (900)</w:t>
            </w:r>
          </w:p>
        </w:tc>
        <w:tc>
          <w:tcPr>
            <w:tcW w:w="2760" w:type="dxa"/>
            <w:tcBorders>
              <w:top w:val="nil"/>
              <w:left w:val="nil"/>
              <w:bottom w:val="single" w:sz="4" w:space="0" w:color="auto"/>
              <w:right w:val="single" w:sz="4" w:space="0" w:color="auto"/>
            </w:tcBorders>
            <w:shd w:val="clear" w:color="auto" w:fill="auto"/>
            <w:noWrap/>
            <w:vAlign w:val="center"/>
            <w:hideMark/>
          </w:tcPr>
          <w:p w:rsidR="00A82691" w:rsidRPr="00A82691" w:rsidRDefault="00A82691" w:rsidP="00666D53">
            <w:pPr>
              <w:pStyle w:val="NoSpacing"/>
              <w:jc w:val="both"/>
              <w:rPr>
                <w:rFonts w:ascii="Calibri" w:eastAsia="Times New Roman" w:hAnsi="Calibri" w:cs="Calibri"/>
                <w:color w:val="000000"/>
              </w:rPr>
            </w:pPr>
            <w:r w:rsidRPr="00A82691">
              <w:rPr>
                <w:rFonts w:ascii="Calibri" w:eastAsia="Times New Roman" w:hAnsi="Calibri" w:cs="Calibri"/>
                <w:color w:val="000000"/>
              </w:rPr>
              <w:t>0.2%</w:t>
            </w:r>
          </w:p>
        </w:tc>
      </w:tr>
    </w:tbl>
    <w:p w:rsidR="00A82691" w:rsidRDefault="00A82691" w:rsidP="00666D53">
      <w:pPr>
        <w:pStyle w:val="NoSpacing"/>
        <w:jc w:val="both"/>
      </w:pPr>
    </w:p>
    <w:sectPr w:rsidR="00A826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9A" w:rsidRDefault="00E3449A" w:rsidP="00E3449A">
      <w:pPr>
        <w:spacing w:after="0" w:line="240" w:lineRule="auto"/>
      </w:pPr>
      <w:r>
        <w:separator/>
      </w:r>
    </w:p>
  </w:endnote>
  <w:endnote w:type="continuationSeparator" w:id="0">
    <w:p w:rsidR="00E3449A" w:rsidRDefault="00E3449A" w:rsidP="00E3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9A" w:rsidRDefault="00E3449A" w:rsidP="00E3449A">
      <w:pPr>
        <w:spacing w:after="0" w:line="240" w:lineRule="auto"/>
      </w:pPr>
      <w:r>
        <w:separator/>
      </w:r>
    </w:p>
  </w:footnote>
  <w:footnote w:type="continuationSeparator" w:id="0">
    <w:p w:rsidR="00E3449A" w:rsidRDefault="00E3449A" w:rsidP="00E34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C7" w:rsidRPr="001B6065" w:rsidRDefault="00FF37C7" w:rsidP="00FF37C7">
    <w:pPr>
      <w:pStyle w:val="Header"/>
      <w:jc w:val="center"/>
      <w:rPr>
        <w:rFonts w:cstheme="minorHAnsi"/>
        <w:b/>
        <w:sz w:val="24"/>
        <w:szCs w:val="24"/>
      </w:rPr>
    </w:pPr>
    <w:r w:rsidRPr="001B6065">
      <w:rPr>
        <w:rFonts w:cstheme="minorHAnsi"/>
        <w:b/>
        <w:sz w:val="24"/>
        <w:szCs w:val="24"/>
      </w:rPr>
      <w:t>Town of Germantown Local Waterfront Revitalization Study</w:t>
    </w:r>
  </w:p>
  <w:p w:rsidR="00FF37C7" w:rsidRPr="001B6065" w:rsidRDefault="00FF37C7" w:rsidP="00FF37C7">
    <w:pPr>
      <w:pStyle w:val="Header"/>
      <w:jc w:val="center"/>
      <w:rPr>
        <w:rFonts w:cstheme="minorHAnsi"/>
        <w:b/>
        <w:sz w:val="24"/>
        <w:szCs w:val="24"/>
      </w:rPr>
    </w:pPr>
  </w:p>
  <w:p w:rsidR="00FF37C7" w:rsidRPr="001B6065" w:rsidRDefault="00FF37C7" w:rsidP="00FF37C7">
    <w:pPr>
      <w:pStyle w:val="Header"/>
      <w:jc w:val="center"/>
      <w:rPr>
        <w:rFonts w:cstheme="minorHAnsi"/>
        <w:b/>
        <w:sz w:val="24"/>
        <w:szCs w:val="24"/>
      </w:rPr>
    </w:pPr>
    <w:r w:rsidRPr="001B6065">
      <w:rPr>
        <w:rFonts w:cstheme="minorHAnsi"/>
        <w:b/>
        <w:sz w:val="24"/>
        <w:szCs w:val="24"/>
      </w:rPr>
      <w:t>Waterfront Revitalization Area Boundary</w:t>
    </w:r>
  </w:p>
  <w:p w:rsidR="00FF37C7" w:rsidRDefault="00FF37C7">
    <w:pPr>
      <w:pStyle w:val="Header"/>
    </w:pPr>
  </w:p>
  <w:p w:rsidR="000F4B06" w:rsidRDefault="000F4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AD"/>
    <w:rsid w:val="000F4B06"/>
    <w:rsid w:val="00160287"/>
    <w:rsid w:val="001B6065"/>
    <w:rsid w:val="00280763"/>
    <w:rsid w:val="0028425D"/>
    <w:rsid w:val="003F6AAD"/>
    <w:rsid w:val="005453DB"/>
    <w:rsid w:val="00666D53"/>
    <w:rsid w:val="007E74FB"/>
    <w:rsid w:val="009A37E2"/>
    <w:rsid w:val="009E19EF"/>
    <w:rsid w:val="00A60EE0"/>
    <w:rsid w:val="00A82691"/>
    <w:rsid w:val="00B017AE"/>
    <w:rsid w:val="00B51D7D"/>
    <w:rsid w:val="00D20B9F"/>
    <w:rsid w:val="00D91982"/>
    <w:rsid w:val="00E3449A"/>
    <w:rsid w:val="00E53305"/>
    <w:rsid w:val="00ED7B85"/>
    <w:rsid w:val="00F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E6D5-EBF7-4690-9F1A-6CCE3F8C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9A"/>
  </w:style>
  <w:style w:type="paragraph" w:styleId="Footer">
    <w:name w:val="footer"/>
    <w:basedOn w:val="Normal"/>
    <w:link w:val="FooterChar"/>
    <w:uiPriority w:val="99"/>
    <w:unhideWhenUsed/>
    <w:rsid w:val="00E3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9A"/>
  </w:style>
  <w:style w:type="paragraph" w:styleId="NoSpacing">
    <w:name w:val="No Spacing"/>
    <w:uiPriority w:val="1"/>
    <w:qFormat/>
    <w:rsid w:val="00666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Ostrander</dc:creator>
  <cp:keywords/>
  <dc:description/>
  <cp:lastModifiedBy>Lindsay Ostrander</cp:lastModifiedBy>
  <cp:revision>17</cp:revision>
  <dcterms:created xsi:type="dcterms:W3CDTF">2016-12-09T16:35:00Z</dcterms:created>
  <dcterms:modified xsi:type="dcterms:W3CDTF">2016-12-09T19:22:00Z</dcterms:modified>
</cp:coreProperties>
</file>